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411853</w:t>
      </w:r>
      <w:bookmarkStart w:id="5" w:name="_GoBack"/>
      <w:bookmarkEnd w:id="5"/>
    </w:p>
    <w:p>
      <w:pPr>
        <w:pStyle w:val="73"/>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MPR applicability for FR2</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8.1.1.2.3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MPR applicability for FR2.</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2"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2"/>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3" w:name="OLE_LINK11"/>
            <w:r>
              <w:rPr>
                <w:rFonts w:ascii="Times New Roman" w:hAnsi="Times New Roman" w:cs="Times New Roman"/>
                <w:sz w:val="20"/>
                <w:szCs w:val="20"/>
              </w:rPr>
              <w:t xml:space="preserve">MPR applicability based on the UL CCs with activated cells </w:t>
            </w:r>
            <w:bookmarkEnd w:id="3"/>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4" w:name="OLE_LINK13"/>
            <w:r>
              <w:rPr>
                <w:rFonts w:ascii="Times New Roman" w:hAnsi="Times New Roman" w:cs="Times New Roman"/>
                <w:sz w:val="20"/>
                <w:szCs w:val="20"/>
              </w:rPr>
              <w:t>SCell is activated</w:t>
            </w:r>
            <w:bookmarkEnd w:id="4"/>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ind w:leftChars="0" w:right="0" w:rightChars="0"/>
              <w:textAlignment w:val="baseline"/>
              <w:rPr>
                <w:sz w:val="20"/>
                <w:szCs w:val="20"/>
              </w:rPr>
            </w:pPr>
            <w:r>
              <w:rPr>
                <w:sz w:val="20"/>
                <w:szCs w:val="20"/>
              </w:rPr>
              <w:t xml:space="preserve">2.3. Applicable MPR for FR2 single carrier UL with DL intra band CA </w:t>
            </w:r>
          </w:p>
          <w:p>
            <w:pPr>
              <w:overflowPunct w:val="0"/>
              <w:autoSpaceDE w:val="0"/>
              <w:autoSpaceDN w:val="0"/>
              <w:adjustRightInd w:val="0"/>
              <w:spacing w:after="180"/>
              <w:textAlignment w:val="baseline"/>
              <w:rPr>
                <w:b/>
                <w:sz w:val="20"/>
                <w:szCs w:val="20"/>
                <w:lang w:eastAsia="zh-CN"/>
              </w:rPr>
            </w:pPr>
            <w:r>
              <w:rPr>
                <w:b/>
                <w:sz w:val="20"/>
                <w:szCs w:val="20"/>
                <w:lang w:eastAsia="zh-CN"/>
              </w:rPr>
              <w:t>Way forward:</w:t>
            </w:r>
          </w:p>
          <w:p>
            <w:pPr>
              <w:pStyle w:val="34"/>
              <w:numPr>
                <w:ilvl w:val="0"/>
                <w:numId w:val="9"/>
              </w:numPr>
              <w:overflowPunct/>
              <w:autoSpaceDE/>
              <w:autoSpaceDN/>
              <w:adjustRightInd/>
              <w:spacing w:after="120"/>
              <w:ind w:firstLineChars="0"/>
              <w:textAlignment w:val="auto"/>
              <w:rPr>
                <w:rFonts w:eastAsiaTheme="minorEastAsia"/>
                <w:sz w:val="20"/>
                <w:szCs w:val="20"/>
                <w:lang w:eastAsia="zh-CN"/>
              </w:rPr>
            </w:pPr>
            <w:r>
              <w:rPr>
                <w:rFonts w:eastAsiaTheme="minorEastAsia"/>
                <w:sz w:val="20"/>
                <w:szCs w:val="20"/>
                <w:lang w:eastAsia="zh-CN"/>
              </w:rPr>
              <w:t>For the case of single carrier UL with DL intra band CA, the MPR requirements of single carrier case in clause 6.2.2 of TS 38.101-2 applies with UE indication of new capability for MPR improvement.</w:t>
            </w:r>
          </w:p>
          <w:p>
            <w:pPr>
              <w:overflowPunct w:val="0"/>
              <w:autoSpaceDE w:val="0"/>
              <w:autoSpaceDN w:val="0"/>
              <w:adjustRightInd w:val="0"/>
              <w:spacing w:after="180"/>
              <w:textAlignment w:val="baseline"/>
              <w:rPr>
                <w:rFonts w:eastAsiaTheme="minorEastAsia"/>
                <w:sz w:val="20"/>
                <w:szCs w:val="20"/>
                <w:lang w:eastAsia="zh-CN"/>
              </w:rPr>
            </w:pPr>
          </w:p>
          <w:p>
            <w:pPr>
              <w:pStyle w:val="3"/>
              <w:numPr>
                <w:ilvl w:val="1"/>
                <w:numId w:val="0"/>
              </w:numPr>
              <w:overflowPunct w:val="0"/>
              <w:autoSpaceDE w:val="0"/>
              <w:autoSpaceDN w:val="0"/>
              <w:adjustRightInd w:val="0"/>
              <w:ind w:leftChars="0" w:right="0" w:rightChars="0"/>
              <w:textAlignment w:val="baseline"/>
              <w:rPr>
                <w:sz w:val="20"/>
                <w:szCs w:val="20"/>
              </w:rPr>
            </w:pPr>
            <w:r>
              <w:rPr>
                <w:sz w:val="20"/>
                <w:szCs w:val="20"/>
              </w:rPr>
              <w:t xml:space="preserve">2.4. Applicable MPR for FR2 UL CA with DL intra band CA </w:t>
            </w:r>
          </w:p>
          <w:p>
            <w:pPr>
              <w:overflowPunct w:val="0"/>
              <w:autoSpaceDE w:val="0"/>
              <w:autoSpaceDN w:val="0"/>
              <w:adjustRightInd w:val="0"/>
              <w:spacing w:after="180"/>
              <w:textAlignment w:val="baseline"/>
              <w:rPr>
                <w:b/>
                <w:sz w:val="20"/>
                <w:szCs w:val="20"/>
                <w:lang w:eastAsia="zh-CN"/>
              </w:rPr>
            </w:pPr>
            <w:r>
              <w:rPr>
                <w:b/>
                <w:sz w:val="20"/>
                <w:szCs w:val="20"/>
                <w:lang w:eastAsia="zh-CN"/>
              </w:rPr>
              <w:t>Way forward:</w:t>
            </w:r>
          </w:p>
          <w:p>
            <w:pPr>
              <w:pStyle w:val="34"/>
              <w:numPr>
                <w:ilvl w:val="0"/>
                <w:numId w:val="9"/>
              </w:numPr>
              <w:overflowPunct/>
              <w:autoSpaceDE/>
              <w:autoSpaceDN/>
              <w:adjustRightInd/>
              <w:spacing w:after="120"/>
              <w:ind w:firstLineChars="0"/>
              <w:textAlignment w:val="auto"/>
              <w:rPr>
                <w:sz w:val="20"/>
                <w:szCs w:val="20"/>
                <w:lang w:eastAsia="zh-CN"/>
              </w:rPr>
            </w:pPr>
            <w:r>
              <w:rPr>
                <w:rFonts w:eastAsia="宋体"/>
                <w:sz w:val="20"/>
                <w:szCs w:val="20"/>
                <w:lang w:eastAsia="zh-CN"/>
              </w:rPr>
              <w:t xml:space="preserve">MPR based on </w:t>
            </w:r>
            <w:r>
              <w:rPr>
                <w:sz w:val="20"/>
                <w:szCs w:val="20"/>
              </w:rPr>
              <w:t>UL BW</w:t>
            </w:r>
            <w:r>
              <w:rPr>
                <w:sz w:val="20"/>
                <w:szCs w:val="20"/>
                <w:vertAlign w:val="subscript"/>
              </w:rPr>
              <w:t>channel_CA</w:t>
            </w:r>
            <w:r>
              <w:rPr>
                <w:sz w:val="20"/>
                <w:szCs w:val="20"/>
              </w:rPr>
              <w:t xml:space="preserve"> applies instead that based on </w:t>
            </w:r>
            <w:r>
              <w:rPr>
                <w:bCs/>
                <w:sz w:val="20"/>
                <w:szCs w:val="20"/>
              </w:rPr>
              <w:t>cumulative aggregated channel BW (CABW) wit</w:t>
            </w:r>
            <w:r>
              <w:rPr>
                <w:rFonts w:eastAsiaTheme="minorEastAsia"/>
                <w:sz w:val="20"/>
                <w:szCs w:val="20"/>
                <w:lang w:eastAsia="zh-CN"/>
              </w:rPr>
              <w:t xml:space="preserve">h </w:t>
            </w:r>
            <w:r>
              <w:rPr>
                <w:bCs/>
                <w:sz w:val="20"/>
                <w:szCs w:val="20"/>
              </w:rPr>
              <w:t xml:space="preserve">UE indication of new capability for MPR improvement </w:t>
            </w:r>
          </w:p>
          <w:p>
            <w:pPr>
              <w:pStyle w:val="34"/>
              <w:numPr>
                <w:ilvl w:val="1"/>
                <w:numId w:val="9"/>
              </w:numPr>
              <w:overflowPunct w:val="0"/>
              <w:autoSpaceDE w:val="0"/>
              <w:autoSpaceDN w:val="0"/>
              <w:adjustRightInd w:val="0"/>
              <w:spacing w:after="180"/>
              <w:ind w:firstLineChars="0"/>
              <w:textAlignment w:val="baseline"/>
              <w:rPr>
                <w:sz w:val="20"/>
                <w:szCs w:val="20"/>
                <w:lang w:eastAsia="zh-CN"/>
              </w:rPr>
            </w:pPr>
            <w:r>
              <w:rPr>
                <w:rFonts w:eastAsiaTheme="minorEastAsia"/>
                <w:sz w:val="20"/>
                <w:szCs w:val="20"/>
                <w:lang w:eastAsia="zh-CN"/>
              </w:rPr>
              <w:t>If only 1 UL CC is activated, the MPR requirements of single carrier could be reused</w:t>
            </w:r>
          </w:p>
          <w:p>
            <w:pPr>
              <w:pStyle w:val="34"/>
              <w:numPr>
                <w:ilvl w:val="0"/>
                <w:numId w:val="9"/>
              </w:numPr>
              <w:overflowPunct w:val="0"/>
              <w:autoSpaceDE w:val="0"/>
              <w:autoSpaceDN w:val="0"/>
              <w:adjustRightInd w:val="0"/>
              <w:spacing w:after="180"/>
              <w:ind w:firstLineChars="0"/>
              <w:textAlignment w:val="baseline"/>
              <w:rPr>
                <w:rFonts w:eastAsiaTheme="minorEastAsia"/>
                <w:sz w:val="20"/>
                <w:szCs w:val="20"/>
                <w:lang w:eastAsia="zh-CN"/>
              </w:rPr>
            </w:pPr>
            <w:r>
              <w:rPr>
                <w:rFonts w:eastAsiaTheme="minorEastAsia"/>
                <w:sz w:val="20"/>
                <w:szCs w:val="20"/>
                <w:lang w:eastAsia="zh-CN"/>
              </w:rPr>
              <w:t xml:space="preserve">FFS whether new MPR requirement could be defined for CABW &lt; 400 MHz (e.g., 200 MHz). </w:t>
            </w:r>
          </w:p>
          <w:p>
            <w:pPr>
              <w:pStyle w:val="34"/>
              <w:numPr>
                <w:ilvl w:val="0"/>
                <w:numId w:val="0"/>
              </w:numPr>
              <w:overflowPunct w:val="0"/>
              <w:autoSpaceDE w:val="0"/>
              <w:autoSpaceDN w:val="0"/>
              <w:adjustRightInd w:val="0"/>
              <w:spacing w:after="180"/>
              <w:textAlignment w:val="baseline"/>
              <w:rPr>
                <w:rFonts w:hint="default"/>
                <w:b/>
                <w:bCs/>
                <w:i/>
                <w:iCs/>
                <w:sz w:val="20"/>
                <w:szCs w:val="20"/>
                <w:vertAlign w:val="baseline"/>
                <w:lang w:val="en-US" w:eastAsia="zh-CN"/>
              </w:rPr>
            </w:pPr>
          </w:p>
        </w:tc>
      </w:tr>
    </w:tbl>
    <w:p>
      <w:pPr>
        <w:rPr>
          <w:rFonts w:hint="eastAsia"/>
          <w:sz w:val="20"/>
          <w:szCs w:val="20"/>
          <w:lang w:val="en-US" w:eastAsia="zh-CN"/>
        </w:rPr>
      </w:pPr>
      <w:r>
        <w:rPr>
          <w:rFonts w:hint="eastAsia"/>
          <w:sz w:val="20"/>
          <w:szCs w:val="20"/>
          <w:lang w:val="en-US" w:eastAsia="zh-CN"/>
        </w:rPr>
        <w:t>In last meeting, we tended to reach an agreement that decouple UL and DL to define MPR relying on UL BW</w:t>
      </w:r>
      <w:r>
        <w:rPr>
          <w:rFonts w:hint="eastAsia"/>
          <w:sz w:val="20"/>
          <w:szCs w:val="20"/>
          <w:vertAlign w:val="subscript"/>
          <w:lang w:val="en-US" w:eastAsia="zh-CN"/>
        </w:rPr>
        <w:t>channel</w:t>
      </w:r>
      <w:r>
        <w:rPr>
          <w:rFonts w:hint="eastAsia"/>
          <w:sz w:val="20"/>
          <w:szCs w:val="20"/>
          <w:lang w:val="en-US" w:eastAsia="zh-CN"/>
        </w:rPr>
        <w:t xml:space="preserve"> instead of CABW with UE indication of new capability for MPR improvement. For the new UE capability, we need to consider all possible UE implementations, including UE with fast LO switching, or with dedicated LOs for Tx and Rx paths. Considering the new UE capability is related to UE implementation, this new capability shall be defined as optional and per UE, and only applicable to FR2. In addition, it could be release independent.</w:t>
      </w:r>
    </w:p>
    <w:p>
      <w:pPr>
        <w:rPr>
          <w:rFonts w:hint="eastAsia"/>
          <w:b/>
          <w:bCs/>
          <w:i w:val="0"/>
          <w:iCs w:val="0"/>
          <w:sz w:val="20"/>
          <w:szCs w:val="20"/>
          <w:lang w:val="en-US" w:eastAsia="zh-CN"/>
        </w:rPr>
      </w:pPr>
      <w:r>
        <w:rPr>
          <w:rFonts w:hint="eastAsia"/>
          <w:b/>
          <w:bCs/>
          <w:i w:val="0"/>
          <w:iCs w:val="0"/>
          <w:sz w:val="20"/>
          <w:szCs w:val="20"/>
          <w:lang w:val="en-US" w:eastAsia="zh-CN"/>
        </w:rPr>
        <w:t>Proposal 1: We propose to consider all possible UE implementations, including UE with fast LO switching, or with dedicated LOs for Tx and Rx paths for the new UE capability.</w:t>
      </w:r>
    </w:p>
    <w:p>
      <w:pPr>
        <w:rPr>
          <w:rFonts w:hint="eastAsia"/>
          <w:b/>
          <w:bCs/>
          <w:i w:val="0"/>
          <w:iCs w:val="0"/>
          <w:sz w:val="20"/>
          <w:szCs w:val="20"/>
          <w:lang w:val="en-US" w:eastAsia="zh-CN"/>
        </w:rPr>
      </w:pPr>
      <w:r>
        <w:rPr>
          <w:rFonts w:hint="eastAsia"/>
          <w:b/>
          <w:bCs/>
          <w:i w:val="0"/>
          <w:iCs w:val="0"/>
          <w:sz w:val="20"/>
          <w:szCs w:val="20"/>
          <w:lang w:val="en-US" w:eastAsia="zh-CN"/>
        </w:rPr>
        <w:t>Proposal 2: The new capability shall be defined as optional and per UE, and only applicable to FR2. In addition, it could be release independent.</w:t>
      </w:r>
    </w:p>
    <w:p>
      <w:pPr>
        <w:rPr>
          <w:rFonts w:hint="eastAsia"/>
          <w:sz w:val="20"/>
          <w:szCs w:val="20"/>
          <w:lang w:val="en-US" w:eastAsia="zh-CN"/>
        </w:rPr>
      </w:pPr>
      <w:r>
        <w:rPr>
          <w:rFonts w:hint="eastAsia"/>
          <w:sz w:val="20"/>
          <w:szCs w:val="20"/>
          <w:lang w:val="en-US" w:eastAsia="zh-CN"/>
        </w:rPr>
        <w:t>Regarding whether new MPR requirement could be defined for CABW &lt; 400 MHz (e.g., 200 MHz), according to the objective of the WID, it states that specify MPR applicability based on the UL CCs with activated cells for NR intra-band UL CA configuration. Hence, only MPR applicability needs to be discussed in this WID, and defining new MPR requirement is out of scope.</w:t>
      </w:r>
    </w:p>
    <w:p>
      <w:pPr>
        <w:rPr>
          <w:rFonts w:hint="default"/>
          <w:sz w:val="20"/>
          <w:szCs w:val="20"/>
          <w:lang w:val="en-US" w:eastAsia="zh-CN"/>
        </w:rPr>
      </w:pPr>
      <w:r>
        <w:rPr>
          <w:rFonts w:hint="eastAsia"/>
          <w:b/>
          <w:bCs/>
          <w:i w:val="0"/>
          <w:iCs w:val="0"/>
          <w:sz w:val="20"/>
          <w:szCs w:val="20"/>
          <w:lang w:val="en-US" w:eastAsia="zh-CN"/>
        </w:rPr>
        <w:t>Proposal 3: Only MPR applicability needs to be discussed in this WID, and defining new MPR requirement is out of scope.</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i w:val="0"/>
          <w:iCs w:val="0"/>
          <w:sz w:val="20"/>
          <w:szCs w:val="20"/>
          <w:lang w:val="en-US" w:eastAsia="zh-CN"/>
        </w:rPr>
      </w:pPr>
      <w:r>
        <w:rPr>
          <w:rFonts w:hint="eastAsia"/>
          <w:b/>
          <w:bCs/>
          <w:i w:val="0"/>
          <w:iCs w:val="0"/>
          <w:sz w:val="20"/>
          <w:szCs w:val="20"/>
          <w:lang w:val="en-US" w:eastAsia="zh-CN"/>
        </w:rPr>
        <w:t>Proposal 1: We propose to consider all possible UE implementations, including UE with fast LO switching, or with dedicated LOs for Tx and Rx paths for the new UE capability.</w:t>
      </w:r>
    </w:p>
    <w:p>
      <w:pPr>
        <w:rPr>
          <w:rFonts w:hint="eastAsia"/>
          <w:b/>
          <w:bCs/>
          <w:i w:val="0"/>
          <w:iCs w:val="0"/>
          <w:sz w:val="20"/>
          <w:szCs w:val="20"/>
          <w:lang w:val="en-US" w:eastAsia="zh-CN"/>
        </w:rPr>
      </w:pPr>
      <w:r>
        <w:rPr>
          <w:rFonts w:hint="eastAsia"/>
          <w:b/>
          <w:bCs/>
          <w:i w:val="0"/>
          <w:iCs w:val="0"/>
          <w:sz w:val="20"/>
          <w:szCs w:val="20"/>
          <w:lang w:val="en-US" w:eastAsia="zh-CN"/>
        </w:rPr>
        <w:t>Proposal 2: The new capability shall be defined as optional and per UE, and only applicable to FR2. In addition, it could be release independent.</w:t>
      </w:r>
    </w:p>
    <w:p>
      <w:pPr>
        <w:rPr>
          <w:rFonts w:hint="default"/>
          <w:sz w:val="20"/>
          <w:szCs w:val="20"/>
          <w:lang w:val="en-US" w:eastAsia="zh-CN"/>
        </w:rPr>
      </w:pPr>
      <w:r>
        <w:rPr>
          <w:rFonts w:hint="eastAsia"/>
          <w:b/>
          <w:bCs/>
          <w:i w:val="0"/>
          <w:iCs w:val="0"/>
          <w:sz w:val="20"/>
          <w:szCs w:val="20"/>
          <w:lang w:val="en-US" w:eastAsia="zh-CN"/>
        </w:rPr>
        <w:t>Proposal 3: Only MPR applicability needs to be discussed in this WID, and defining new MPR requirement is out of scope.</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6568FB"/>
    <w:multiLevelType w:val="multilevel"/>
    <w:tmpl w:val="5B6568FB"/>
    <w:lvl w:ilvl="0" w:tentative="0">
      <w:start w:val="2"/>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45E8F"/>
    <w:rsid w:val="03496C64"/>
    <w:rsid w:val="035154D3"/>
    <w:rsid w:val="03527C38"/>
    <w:rsid w:val="0356746F"/>
    <w:rsid w:val="0360259A"/>
    <w:rsid w:val="036522E7"/>
    <w:rsid w:val="036E37C2"/>
    <w:rsid w:val="03746F87"/>
    <w:rsid w:val="037C6EF7"/>
    <w:rsid w:val="03814F5B"/>
    <w:rsid w:val="038B3141"/>
    <w:rsid w:val="03A77DFA"/>
    <w:rsid w:val="03AD50C2"/>
    <w:rsid w:val="03B339B1"/>
    <w:rsid w:val="03C05350"/>
    <w:rsid w:val="03C1287B"/>
    <w:rsid w:val="03C36B0E"/>
    <w:rsid w:val="03C528EA"/>
    <w:rsid w:val="03CF67FA"/>
    <w:rsid w:val="03E120EA"/>
    <w:rsid w:val="03E358F3"/>
    <w:rsid w:val="03E84DE8"/>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A6B82"/>
    <w:rsid w:val="05636085"/>
    <w:rsid w:val="057D1D66"/>
    <w:rsid w:val="059D265F"/>
    <w:rsid w:val="059E1515"/>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87ABE"/>
    <w:rsid w:val="0CE26C42"/>
    <w:rsid w:val="0CE632FF"/>
    <w:rsid w:val="0CE76B48"/>
    <w:rsid w:val="0CEA60DD"/>
    <w:rsid w:val="0CEB5DBE"/>
    <w:rsid w:val="0CFB523A"/>
    <w:rsid w:val="0D074D4A"/>
    <w:rsid w:val="0D0A3371"/>
    <w:rsid w:val="0D0C5764"/>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E2885"/>
    <w:rsid w:val="0DEF012A"/>
    <w:rsid w:val="0DF202E1"/>
    <w:rsid w:val="0DF53CE3"/>
    <w:rsid w:val="0E0961C5"/>
    <w:rsid w:val="0E0C6AA6"/>
    <w:rsid w:val="0E147898"/>
    <w:rsid w:val="0E264DDB"/>
    <w:rsid w:val="0E2F216B"/>
    <w:rsid w:val="0E317430"/>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8C2B8A"/>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97A08"/>
    <w:rsid w:val="11921373"/>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9F73BB"/>
    <w:rsid w:val="15B03F28"/>
    <w:rsid w:val="15C15E25"/>
    <w:rsid w:val="15C42571"/>
    <w:rsid w:val="15E30A80"/>
    <w:rsid w:val="15F21B9E"/>
    <w:rsid w:val="15FD2FA2"/>
    <w:rsid w:val="16021A7C"/>
    <w:rsid w:val="1608480E"/>
    <w:rsid w:val="161C1C58"/>
    <w:rsid w:val="162B27CD"/>
    <w:rsid w:val="162D7415"/>
    <w:rsid w:val="162F755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8DC1AEF"/>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D43BA"/>
    <w:rsid w:val="1BC01115"/>
    <w:rsid w:val="1BC44015"/>
    <w:rsid w:val="1BC96DA5"/>
    <w:rsid w:val="1BCA6284"/>
    <w:rsid w:val="1BCC6C47"/>
    <w:rsid w:val="1BE32C74"/>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64B52"/>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23C57"/>
    <w:rsid w:val="1F343977"/>
    <w:rsid w:val="1F3E662A"/>
    <w:rsid w:val="1F4F2219"/>
    <w:rsid w:val="1F614D01"/>
    <w:rsid w:val="1F721405"/>
    <w:rsid w:val="1F935819"/>
    <w:rsid w:val="1FA036A3"/>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405F8"/>
    <w:rsid w:val="21B5366A"/>
    <w:rsid w:val="21C267BF"/>
    <w:rsid w:val="21C67C42"/>
    <w:rsid w:val="21CB6217"/>
    <w:rsid w:val="21CD6BCD"/>
    <w:rsid w:val="21CE6067"/>
    <w:rsid w:val="21CF439A"/>
    <w:rsid w:val="21D824E4"/>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91F8B"/>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C70B30"/>
    <w:rsid w:val="2ACC2AAF"/>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CF5C52"/>
    <w:rsid w:val="2CE01F07"/>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4478EC"/>
    <w:rsid w:val="304F4511"/>
    <w:rsid w:val="30515C8E"/>
    <w:rsid w:val="305823FF"/>
    <w:rsid w:val="30830761"/>
    <w:rsid w:val="30926F91"/>
    <w:rsid w:val="30962F3E"/>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A9328B"/>
    <w:rsid w:val="31B718F2"/>
    <w:rsid w:val="31C57B88"/>
    <w:rsid w:val="31D20051"/>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9B699F"/>
    <w:rsid w:val="439D3E18"/>
    <w:rsid w:val="439F1200"/>
    <w:rsid w:val="43AE320F"/>
    <w:rsid w:val="43AF2D32"/>
    <w:rsid w:val="43B13512"/>
    <w:rsid w:val="43B76E4F"/>
    <w:rsid w:val="43C9176D"/>
    <w:rsid w:val="43CF0206"/>
    <w:rsid w:val="43D50BA1"/>
    <w:rsid w:val="43D85D6D"/>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D3243"/>
    <w:rsid w:val="478821A1"/>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74032"/>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24532"/>
    <w:rsid w:val="52A611A1"/>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62D89"/>
    <w:rsid w:val="5427150F"/>
    <w:rsid w:val="542B1B24"/>
    <w:rsid w:val="542B76D0"/>
    <w:rsid w:val="542C29CD"/>
    <w:rsid w:val="542F1551"/>
    <w:rsid w:val="54381756"/>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3559FD"/>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6A6D"/>
    <w:rsid w:val="5ADF4325"/>
    <w:rsid w:val="5AE8708E"/>
    <w:rsid w:val="5AEC14F6"/>
    <w:rsid w:val="5AF124A4"/>
    <w:rsid w:val="5B0A4D6B"/>
    <w:rsid w:val="5B141085"/>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844D0"/>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A2E8B"/>
    <w:rsid w:val="63CF097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4E20BB"/>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BF0D6B"/>
    <w:rsid w:val="6BCA7437"/>
    <w:rsid w:val="6BE727F5"/>
    <w:rsid w:val="6C001608"/>
    <w:rsid w:val="6C08064C"/>
    <w:rsid w:val="6C0858B3"/>
    <w:rsid w:val="6C132D21"/>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836C02"/>
    <w:rsid w:val="6D89784B"/>
    <w:rsid w:val="6D8C7F73"/>
    <w:rsid w:val="6D9057BE"/>
    <w:rsid w:val="6D9E0566"/>
    <w:rsid w:val="6DBE7F27"/>
    <w:rsid w:val="6DC262E7"/>
    <w:rsid w:val="6DD70DD8"/>
    <w:rsid w:val="6DED1766"/>
    <w:rsid w:val="6DF43BD4"/>
    <w:rsid w:val="6E0A39B3"/>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F64A63"/>
    <w:rsid w:val="71F870B8"/>
    <w:rsid w:val="72021233"/>
    <w:rsid w:val="720B2A1D"/>
    <w:rsid w:val="72197AB8"/>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616F0"/>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5D1EF3"/>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40552"/>
    <w:rsid w:val="77272CAB"/>
    <w:rsid w:val="772B43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067F6"/>
    <w:rsid w:val="7C4674BA"/>
    <w:rsid w:val="7C4A2BD1"/>
    <w:rsid w:val="7C4C0053"/>
    <w:rsid w:val="7C576C70"/>
    <w:rsid w:val="7C6E4349"/>
    <w:rsid w:val="7C77043F"/>
    <w:rsid w:val="7C8A7CDC"/>
    <w:rsid w:val="7C9B5288"/>
    <w:rsid w:val="7C9E5A24"/>
    <w:rsid w:val="7CA745A1"/>
    <w:rsid w:val="7CAF4DCB"/>
    <w:rsid w:val="7CB4006B"/>
    <w:rsid w:val="7CB93ABB"/>
    <w:rsid w:val="7CC475DB"/>
    <w:rsid w:val="7CD36BD6"/>
    <w:rsid w:val="7CDE3831"/>
    <w:rsid w:val="7CE656F0"/>
    <w:rsid w:val="7CED34FF"/>
    <w:rsid w:val="7CEE5458"/>
    <w:rsid w:val="7CF26588"/>
    <w:rsid w:val="7CF565D7"/>
    <w:rsid w:val="7CF7605D"/>
    <w:rsid w:val="7CF867A7"/>
    <w:rsid w:val="7CFA3A46"/>
    <w:rsid w:val="7CFC78A1"/>
    <w:rsid w:val="7D0F5720"/>
    <w:rsid w:val="7D24652E"/>
    <w:rsid w:val="7D2561FD"/>
    <w:rsid w:val="7D2E198F"/>
    <w:rsid w:val="7D342E03"/>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2024-08-09T08:48:20Z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2C76AEB552B54F80A12B88DD3D57EA5C</vt:lpwstr>
  </property>
</Properties>
</file>